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382" w:rsidRDefault="00322382" w:rsidP="00322382">
      <w:r w:rsidRPr="00F835FA">
        <w:rPr>
          <w:noProof/>
          <w:lang w:eastAsia="pl-PL"/>
        </w:rPr>
        <w:drawing>
          <wp:inline distT="0" distB="0" distL="0" distR="0">
            <wp:extent cx="5687158" cy="571500"/>
            <wp:effectExtent l="19050" t="0" r="8792" b="0"/>
            <wp:docPr id="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915" cy="5725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2382" w:rsidRPr="00322382" w:rsidRDefault="00322382" w:rsidP="00322382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322382">
        <w:rPr>
          <w:rFonts w:ascii="Arial" w:hAnsi="Arial" w:cs="Arial"/>
          <w:b/>
          <w:bCs/>
          <w:color w:val="000000"/>
          <w:sz w:val="20"/>
          <w:szCs w:val="20"/>
        </w:rPr>
        <w:t>Załącznik nr 2.5 do SWZ</w:t>
      </w:r>
    </w:p>
    <w:p w:rsidR="00322382" w:rsidRPr="00322382" w:rsidRDefault="00322382" w:rsidP="0032238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322382">
        <w:rPr>
          <w:rFonts w:ascii="Arial" w:hAnsi="Arial" w:cs="Arial"/>
          <w:b/>
          <w:bCs/>
          <w:color w:val="000000"/>
          <w:sz w:val="20"/>
          <w:szCs w:val="20"/>
        </w:rPr>
        <w:t xml:space="preserve">ZESTAWIENIE WARUNKÓW I PARAMETRÓW TECHNICZNYCH </w:t>
      </w:r>
    </w:p>
    <w:p w:rsidR="00322382" w:rsidRPr="00322382" w:rsidRDefault="00322382" w:rsidP="00322382">
      <w:p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322382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Pakiet 5 – System monitorowania parametrów pacjenta – 1 sztuka</w:t>
      </w:r>
    </w:p>
    <w:tbl>
      <w:tblPr>
        <w:tblStyle w:val="Tabela-Siatka"/>
        <w:tblW w:w="9676" w:type="dxa"/>
        <w:tblLook w:val="04A0"/>
      </w:tblPr>
      <w:tblGrid>
        <w:gridCol w:w="817"/>
        <w:gridCol w:w="4253"/>
        <w:gridCol w:w="2303"/>
        <w:gridCol w:w="2303"/>
      </w:tblGrid>
      <w:tr w:rsidR="00322382" w:rsidRPr="00322382" w:rsidTr="00B34055">
        <w:tc>
          <w:tcPr>
            <w:tcW w:w="817" w:type="dxa"/>
            <w:shd w:val="clear" w:color="auto" w:fill="D9D9D9" w:themeFill="background1" w:themeFillShade="D9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2382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2382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parametru/warunek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2382">
              <w:rPr>
                <w:rFonts w:ascii="Arial" w:hAnsi="Arial" w:cs="Arial"/>
                <w:b/>
                <w:sz w:val="20"/>
                <w:szCs w:val="20"/>
              </w:rPr>
              <w:t>Parametr wymagany, konieczny do spełnienia/ parametr punktowany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2382">
              <w:rPr>
                <w:rFonts w:ascii="Arial" w:hAnsi="Arial" w:cs="Arial"/>
                <w:b/>
                <w:sz w:val="20"/>
                <w:szCs w:val="20"/>
              </w:rPr>
              <w:t>Potwierdzenie spełnienia wymagań - Parametr oferowany – podać/opisać</w:t>
            </w:r>
          </w:p>
        </w:tc>
      </w:tr>
      <w:tr w:rsidR="00322382" w:rsidRPr="00322382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322382" w:rsidRPr="00322382" w:rsidRDefault="00322382" w:rsidP="003223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322382" w:rsidRPr="00322382" w:rsidRDefault="00322382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 xml:space="preserve">Sprzęt  fabrycznie nowy, nie dopuszcza się sprzętu powystawowego, demonstracyjnego </w:t>
            </w:r>
            <w:r w:rsidRPr="00322382">
              <w:rPr>
                <w:rFonts w:ascii="Arial" w:hAnsi="Arial" w:cs="Arial"/>
                <w:sz w:val="20"/>
                <w:szCs w:val="20"/>
              </w:rPr>
              <w:br/>
              <w:t xml:space="preserve">i </w:t>
            </w:r>
            <w:proofErr w:type="spellStart"/>
            <w:r w:rsidRPr="00322382">
              <w:rPr>
                <w:rFonts w:ascii="Arial" w:hAnsi="Arial" w:cs="Arial"/>
                <w:sz w:val="20"/>
                <w:szCs w:val="20"/>
              </w:rPr>
              <w:t>rekondycjonowanego</w:t>
            </w:r>
            <w:proofErr w:type="spellEnd"/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322382" w:rsidRPr="00322382" w:rsidRDefault="00322382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DDD9C3" w:themeColor="background2" w:themeShade="E6"/>
                <w:sz w:val="20"/>
                <w:szCs w:val="20"/>
              </w:rPr>
            </w:pPr>
          </w:p>
        </w:tc>
      </w:tr>
      <w:tr w:rsidR="00322382" w:rsidRPr="00322382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322382" w:rsidRPr="00322382" w:rsidRDefault="00322382" w:rsidP="003223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322382" w:rsidRPr="00322382" w:rsidRDefault="001224DD" w:rsidP="00B34055">
            <w:pPr>
              <w:pStyle w:val="western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E0417">
              <w:rPr>
                <w:rFonts w:ascii="Arial" w:eastAsia="Calibri" w:hAnsi="Arial" w:cs="Arial"/>
                <w:color w:val="auto"/>
                <w:sz w:val="20"/>
                <w:szCs w:val="20"/>
              </w:rPr>
              <w:t>Rok produkcji nie starszy niż 2025r.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322382" w:rsidRPr="00322382" w:rsidRDefault="00322382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322382" w:rsidRPr="00322382" w:rsidRDefault="00322382" w:rsidP="003223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322382" w:rsidRPr="00322382" w:rsidRDefault="00322382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Pełna nazwa urządzenia, typ, model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322382" w:rsidRPr="00322382" w:rsidRDefault="00322382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322382" w:rsidRPr="00322382" w:rsidRDefault="00322382" w:rsidP="003223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322382" w:rsidRPr="00322382" w:rsidRDefault="00322382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322382" w:rsidRPr="00322382" w:rsidRDefault="00322382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322382" w:rsidRPr="00322382" w:rsidRDefault="00322382" w:rsidP="003223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322382" w:rsidRPr="00322382" w:rsidRDefault="00322382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322382" w:rsidRPr="00322382" w:rsidRDefault="00322382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22382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2382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 xml:space="preserve">System monitorowania parametrów pacjenta składający się z 4 monitorów pacjenta podpiętych do centrali z </w:t>
            </w:r>
            <w:proofErr w:type="spellStart"/>
            <w:r w:rsidRPr="00322382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UPSem</w:t>
            </w:r>
            <w:proofErr w:type="spellEnd"/>
            <w:r w:rsidRPr="00322382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 xml:space="preserve"> i drukarką laserową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Monitory pacjenta na ramionach zainstalowanych do ściany  z regulacją obrotu, nachylenia i wysokości, łatwo wypinane, bez użycia narzędzi na czas transportu pacjenta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System monitorowania pacjenta o budowie modułowej lub kompaktowo-modułowej, w technologii wymiennych modułów podłączanych podczas pracy przez użytkownika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 zapewnia monitorowanie pacjenta stacjonarnie i w transporcie: pojedynczy monitor stacjonarno-transportowy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 wyposażony we wbudowaną ramę na min. 1 moduł rozszerzeń z możliwością rozbudowy o dodatkową ramę do podłączenia min. 2 dodatkowych modułów pomiarowych.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Wszystkie elementy systemu monitorowania pacjenta chłodzone konwekcyjnie, pasywnie - bez użycia wentylatorów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System monitorowania pacjenta przeznaczony do monitorowania pacjentów we wszystkich kategoriach wiekowych: dorosłych, dzieci i noworodków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Komunikacja z użytkownikiem w języku polskim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 wyposażony w tryb "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Standby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" - tymczasowe wstrzymanie monitorowania pacjenta oraz sygnalizowania alarmów, np. na czas toalety pacjenta lub badania diagnostycznego. Po wznowieniu monitorowania następuje kontynuacja </w:t>
            </w: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>monitorowania tego samego pacjenta bez utraty zapisanych danych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 wyposażony w konfigurowalny tryb nocny: uruchamiany automatycznie w wybranych przez użytkownika godzinach. Przełączenie w tryb nocny zapewnia min. obniżenie jasności ekranu oraz poziomu głośności alarmów.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Dostęp na ekranie monitora do kompletu dokumentacji: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instruckji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obsługi wraz z dodatkami, instrukcji technicznej, opisu interfejsu HL7 oraz kompletnej listy akcesoriów i materiałów zużywalnych. Nawigacja po instrukcji przy użyciu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hiperłączy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ułatwiających przełączanie pomiędzy dokumentami i rozdziałami.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322382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TAK – 1pkt.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NIE – 0pkt.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2238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Zasilanie</w:t>
            </w: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Zasilanie sieciowe, zgodne z PN, dostosowane do 230V/50Hz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 wyposażony w zasilanie akumulatorowe zapewniające przynajmniej 240 minut pracy na wypadek zaniku zasilania lub transportu. W czasie pracy na baterii parametry są wyświetlane na dużym ekranie monitora stacjonarno-transportowego lub stacjonarnego – dopuszcza się realizację tej funkcjonalności przy pomocy zewnętrznego zasilacza UPS klasy medycznej montowanego na stanowisku. W przypadku zewnętrznego zasilacza w ofercie ujęty uchwyt do montażu zasilacza na stanowisku pacjenta.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322382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Zasilanie akumulatorowe – 2pkt.</w:t>
            </w:r>
          </w:p>
          <w:p w:rsidR="00322382" w:rsidRPr="00322382" w:rsidRDefault="00322382" w:rsidP="00322382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  </w:t>
            </w: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Zewnętrzny UPS - 0pkt.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2238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Praca w sieci centralnego monitorowania</w:t>
            </w: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pracy w sieci centralnego monitorowania, zgodnej ze standardem Ethernet.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Monitory umożliwiają wykorzystanie jednej fizycznej infrastruktury teleinformatycznej, w sieci przewodowej i bezprzewodowej, do celu sieci centralnego monitorowania oraz innych aplikacji szpitalnych, w sposób zapewniający bezpieczeństwo i priorytet przesyłania wrażliwych danych medycznych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Monitory gotowe do współpracy z centralą monitorującą, która umożliwia zdalny nadzór nad oferowanymi monitorami, a także w pełni modułowymi monitorami wysokiej klasy tego samego producenta. Nadzór oznacza podgląd bieżących wartości parametrów, krzywych i stanów alarmowych, możliwość wyciszania alarmów i zmiany granic alarmowych, możliwość retrospektywnej analizy danych (trendów i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full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disclosure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Monitory wyposażone w funkcję wysyłania parametrów życiowych monitorowanych pacjentów do zewnętrznych systemów, za pośrednictwem protokołu HL7. Funkcja realizowana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bezpośrenio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przez kardiomonitory lub dedykowany serwer komunikacyjny - ujęty w ofercie.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Monitory umożliwiają zdalny podgląd ekranu innego kardiomonitora pracującego w sieci centralnego monitorowania. Funkcjonalność </w:t>
            </w: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>zależy wyłącznie od funkcjonowania sieci monitorowania i nie wymaga obecności dedykowanych komputerów, serwerów, centrali monitorującej, itp.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Monitory umożliwiają wyświetlanie informacji o alarmach występujących na pozostałych kardiomonitorach pracujących w sieci centralnego monitorowania. Możliwość konfiguracji stanowisk, pomiędzy którymi mają być wymieniane informacje o alarmach.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Monitory zapewniają automatyczne otwarcie ekranu zdalnego monitora w momencie wystąpienia zdarzenia alarmowego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drukowania krzywych, trendów graficznych i numerycznych na podłączonej do sieci centralnego monitorowania tradycyjnej drukarce - bez konieczności pośredniczenia centrali monitorującej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2238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Wymogi funkcjonalne</w:t>
            </w: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 stacjonarny lub stacjonarno-transportowy wyposażony w dotykowy ekran panoramiczny o przekątnej min. 15,6" i rozdzielczości min. 1366 x 768 pikseli.  Umożliwia wyświetlanie przynajmniej 12 krzywych dynamicznych jednocześnie i pełną obsługę funkcji monitorowania pacjenta. Nie dopuszcza się realizacji tej funkcjonalności z wykorzystaniem zewnętrznego, dodatkowego ekranu lub innych rozwiązań zależnych od funkcjonowania sieci informatycznej. Rozmiar ekranu dostępny w czasie monitorowania transportowego min. 6,2".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podłączenia dodatkowego ekranu powielającego o przekątnej min. 19”. Ekran podłączany z wykorzystaniem złącza cyfrowego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Obsługa kardiomonitora poprzez ekran dotykowy lub ekran dotykowy i pokrętło funkcyjne. Możliwość podłączenia czytnika kodów kreskowych (standardowych i QR) do portu USB.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zaprogramowania min. 7 różnych konfiguracji (profili) monitora, zawierających m.in. ustawienia monitorowanych parametrów oraz widoki ekranów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wyboru spośród przynajmniej 16 różnych układów (widoków) ekranu, z możliwością edycji i zapisu przynajmniej 6 z nich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Dostępny tzw. ekran dużych liczb z możliwością podziału na 4 oraz 6 okien parametrów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  <w:shd w:val="clear" w:color="auto" w:fill="FFFFFF" w:themeFill="background1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 stacjonarno-transportowy lub moduł transportowy przystosowany do warunków transportowych, odporny na upadek z wysokości przynajmniej 0,25m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  <w:shd w:val="clear" w:color="auto" w:fill="FFFFFF" w:themeFill="background1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  <w:shd w:val="clear" w:color="auto" w:fill="FFFFFF" w:themeFill="background1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 stacjonarno-transportowy lub moduł transportowy przystosowany do warunków transportowych, klasa odporności na zachlapanie wodą nie gorsza niż IPX2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  <w:shd w:val="clear" w:color="auto" w:fill="FFFFFF" w:themeFill="background1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  <w:shd w:val="clear" w:color="auto" w:fill="FFFFFF" w:themeFill="background1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Monitor stacjonarno-transportowy lub monitor stacjonarny odporny przeciwko zachlapaniu i wnikaniu ciał stałych. Klasa odporności nie </w:t>
            </w: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>gorsza niż IP22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322382" w:rsidRPr="00322382" w:rsidRDefault="00322382" w:rsidP="00B34055">
            <w:pPr>
              <w:ind w:left="-108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303" w:type="dxa"/>
            <w:shd w:val="clear" w:color="auto" w:fill="FFFFFF" w:themeFill="background1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  <w:shd w:val="clear" w:color="auto" w:fill="FFFFFF" w:themeFill="background1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Masa monitora stacjonarno-transportowego lub modułu transportowego wraz z wbudowanym ekranem oraz akumulatorem nie przekracza 5,5 kg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  <w:shd w:val="clear" w:color="auto" w:fill="FFFFFF" w:themeFill="background1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  <w:shd w:val="clear" w:color="auto" w:fill="FFFFFF" w:themeFill="background1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 stacjonarno-transportowy lub moduł transportowy umożliwia kontynuację monitorowania w czasie transportu przynajmniej następujących parametrów (zgodnie z ich wymogami opisanymi w dalszej części specyfikacji): EKG, SpO2, NIBP, 2x Temp., 2x IBP, z możliwością rozbudowy o pomiar CO2 w strumieniu bocznym, w zależności od podłączonych modułów pomiarowych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  <w:shd w:val="clear" w:color="auto" w:fill="FFFFFF" w:themeFill="background1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2238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Monitorowane parametry</w:t>
            </w: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Monitorowanie przynajmniej 1 z 3, 7 i 12 odprowadzeń, z jakością diagnostyczną, w zależności od użytego przewodu EKG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Jednoczesna prezentacja przynajmniej 3 kanałów EKG na ekranie głównym kardiomonitora: 3 różne odprowadzenia lub 1 odprowadzenie w formie kaskady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Pomiar częstości akcji serca w zakresie min. 20 - 300 ud/min. z dokładnością +/- 1% lub +/- 1ud/min.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 komplecie do każdego monitora: przewód do podłączenia 5- elektrod dla dorosłych i dzieci. Długość przewodów przynajmniej 3m.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Wieloodprowadzeniowa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analiza arytmii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Analiza arytmii w przynajmniej 4 odprowadzeniach EKG jednocześnie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Zaawansowana analiza arytmii wg przynajmniej 12 definicji z rozpoznawaniem arytmii komorowych i przedsionkowych, w tym migotania przedsionków. Dopuszcza się realizację tej funkcjonalności przez zewnętrzny aparat EKG z trybem pomiaru ciągłego - w takiej sytuacji należy zaoferować 1 szt. takiego aparatu na każdy oferowany kardiomonitor.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322382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Analiza w monitorze – 2pkt.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Zewnętrzne EKG - 0pkt.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Analiza odcinka ST w 12 odprowadzeniach jednocześnie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Zakres pomiarowy analizy odcinka ST min. -15,0 -(+) 15,0 mm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Pomiar częstości oddechu metodą impedancyjną w zakresie min. 4-120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odd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/min.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Prezentacja częstości oddechu oraz krzywej oddechowej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Pomiar wysycenia hemoglobiny tlenem, z wykorzystaniem algorytmu odpornego na niską perfuzję i artefakty ruchowe: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TruSignal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lub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Masimo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rainbow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SET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Pomiar saturacji w zakresie min. 70-100%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Prezentacja wartości saturacji, krzywej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pletyzmograficznej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i wskaźnika perfuzji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wyboru SPO2 jako źródła częstości rytmu serca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Modulacja dźwięku tętna przy zmianie wartości % SpO2.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 komplecie do każdego monitora: przewód podłączeniowy dł. min. 3m oraz wielorazowy czujnik na palec dla dorosłych. Oryginalne akcesoria pomiarowe producenta algorytmu pomiarowego.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Pomiar ciśnienia metodą nieinwazyjną (NIBP)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Algorytm pomiarowy wykorzystuje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dwutubowy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systemem wężyków i mankietów, skokową deflację, odporny na zakłócenia, artefakty i niemiarową akcję serca, skraca czas pomiarów przez wstępne pompowanie mankietu do wartości bezpośrednio powyżej ostatnio zmierzonej wartości ciśnienia skurczowego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Pomiar ciśnienia tętniczego metodą oscylometryczną.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Pomiar ręczny na żądanie, ciągły przez określony czas oraz automatyczny. Zakres przedziałów czasowych w trybie automatycznym przynajmniej 1 - 120 minut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Funkcja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stazy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żylnej.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zaprogramowania własnych cykli pomiarowych NIBP, składających się z min. 4 kroków z możliwością indywidualnej konfiguracji liczby powtórzeń oraz interwału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Pomiar ciśnienia w zakresie przynajmniej od 10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mmHg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dla ciśnienia rozkurczowego do 250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mmHg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dla ciśnienia skurczowego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Prezentacja wartości: skurczowej, rozkurczowej oraz średniej. Możliwość wyświetlania listy ostatnich wyników pomiarów NIBP na ekranie głównym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W komplecie do każdego monitora: wężyk z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szybkozłączką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dla dorosłych/dzieci oraz 3 mankiety wielorazowe dla dorosłych (w 3 różnych rozmiarach). Dodatkowo na całą instalację 20 szt. mankietów dla pacjentów otyłych.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Mankiety dla pacjentów otyłych stożkowe, dedykowane i walidowane do pomiaru na przedramieniu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Pomiar temperatury w 2 kanałach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Jednoczesna prezentacja w polu parametru temperatury na ekranie głównym monitora stacjonarnego min. 2 wartości temperatury jednocześnie: obu zmierzonych lub jednej zmierzonej i różnicy temperatur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Możliwość ustawienia etykiet temperatur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wg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 miejsca pomiaru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 komplecie do każdego monitora: wielorazowy czujnik temperatury skóry i wielorazowy czujniki temperatury głębokiej dla dorosłych.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Pomiar ciśnienia metodą inwazyjną (IBP)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Pomiar ciśnienia metodą inwazyjną w 2 kanałach. 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rozbudowy do przynajmniej 3 kanałów</w:t>
            </w:r>
          </w:p>
        </w:tc>
        <w:tc>
          <w:tcPr>
            <w:tcW w:w="2303" w:type="dxa"/>
            <w:vAlign w:val="center"/>
          </w:tcPr>
          <w:p w:rsidR="00322382" w:rsidRDefault="00322382" w:rsidP="00322382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TAK – 1pkt.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NIE – 0pkt.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Pomiar ciśnienia w zakresie przynajmniej -20 </w:t>
            </w: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 xml:space="preserve">do 320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mmHg</w:t>
            </w:r>
            <w:proofErr w:type="spellEnd"/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monitorowania i wyboru nazw różnych ciśnień, w tym ciśnienia śródczaszkowego, wraz z automatycznym doborem skali i ustawień dla poszczególnych ciśnień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Pomiar parametru PPV: automatyczny lub ręczny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Ciągły, automatyczny pomiar parametrów PPV i SPV na wybranym kanale ciśnienia. Prezentacja wyników pomiarów na ekranie głównym. Parametry zapisywane w trendach.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 komplecie do każdego monitora przewody do podłączenia przetworników Edwards (po jednym na każdy oferowany kanał)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2238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Możliwości rozbudowy</w:t>
            </w: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Możliwość rozbudowy o pomiar kapnografii (CO2). Pomiar wdechowego i wydechowego stężenia dwutlenku węgla w drogach oddechowych oraz pomiar częstości oddechu. Pomiar realizowany w strumieniu bocznym, dostępny u pacjentów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zaintubowanych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niezaintubowanych</w:t>
            </w:r>
            <w:proofErr w:type="spellEnd"/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Możliwość rozbudowy o monitorowanie gazowe w strumieniu bocznym, min.: CO2, O2, N2O i anestetyków z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automatyczą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identyfikacją środka znieczulającego oraz prezentacją MAC /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MACage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. Pomiary możliwe u pacjentów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zaintubowanych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niezaintubowanych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pacjenta. Możliwość zamiennego stosowania modułu pomiarowego pomiędzy różnymi monitorami i aparatami do znieczulania tego samego producenta.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322382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Parametr punktowany, </w:t>
            </w:r>
            <w:r w:rsidRPr="00322382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podać: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TAK – 1pkt.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NIE – 0pkt.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Możliwość rozbudowy o pomiar rzutu minutowego serca z wykorzystaniem cewnika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Swana-Ganza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Możliwość rozbudowy o pomiar zwiotczenia mięśni przez monitorowanie transmisji nerwowo-mięśniowej NMT z wykorzystaniem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mechanosensora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lub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elektrosensora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- możliwość wyboru przez Użytkownika pomiędzy w/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metodami w trakcie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użytkownia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monitora. Dostępne tryby stymulacji min.: ST, DBS, TET,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ToF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 Kardiomonitor wyposażony w funkcje:</w:t>
            </w: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  <w:t xml:space="preserve">- tzw.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Hookup-advisor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- narzędzie ekranowe podpowiadające rozmieszczenie elektrod oraz umożliwiające weryfikację prawidłowego </w:t>
            </w: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>ich kontaktu ze skórą pacjenta,</w:t>
            </w: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  <w:t>- dźwiękową sygnalizację stymulacji,</w:t>
            </w: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  <w:t>- dźwiękową sygnalizację ustępowania blokady.</w:t>
            </w: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  <w:t>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</w:t>
            </w:r>
          </w:p>
        </w:tc>
        <w:tc>
          <w:tcPr>
            <w:tcW w:w="2303" w:type="dxa"/>
            <w:vAlign w:val="center"/>
          </w:tcPr>
          <w:p w:rsidR="00322382" w:rsidRDefault="00322382" w:rsidP="00322382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lastRenderedPageBreak/>
              <w:t>Parametr punktowany, podać: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TAK – 1pkt.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NIE – 0pkt</w:t>
            </w:r>
            <w:r w:rsidRPr="0032238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rozbudowy o pomiar głębokości uśpienia. Pomiar realizowany przez analizę sygnału EEG, wspomaganego pomiarem elektromiografii mięśni czoła, z obliczaniem parametrów SE, RE i BSR.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322382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TAK – 1pkt.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18"/>
                <w:szCs w:val="18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NIE – 0pkt</w:t>
            </w:r>
            <w:r w:rsidRPr="00322382">
              <w:rPr>
                <w:rFonts w:ascii="Arial" w:hAnsi="Arial" w:cs="Arial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Możliwość rozbudowy kardiomonitora o pomiar poziomu analgezji - pomiar reakcji hemodynamicznej pacjenta na bodźce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nocyceptywne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i środki przeciwbólowe, realizowany za pośrednictwem czujnika saturacji - bez konieczności stosowania dodatkowych akcesoriów zużywalnych. Wynik pomiaru prezentowany na wspólnym wykresie z pomiarem głębokości uśpienia, w sposób ułatwiający prowadzenie znieczulenia i optymalizację zużycia środków znieczulających.</w:t>
            </w:r>
          </w:p>
        </w:tc>
        <w:tc>
          <w:tcPr>
            <w:tcW w:w="2303" w:type="dxa"/>
            <w:vAlign w:val="center"/>
          </w:tcPr>
          <w:p w:rsidR="00322382" w:rsidRDefault="00322382" w:rsidP="00322382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TAK – 1pkt.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NIE – 0pkt.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2238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Alarmy</w:t>
            </w: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Alarmy przynajmniej 3-stopniowe, sygnalizowane wizualnie i dźwiękowo, z wizualizacją parametru, który wywołał alarm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zmiany priorytetu alarmów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Alarmy techniczne z podaniem przyczyny.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Granice alarmowe regulowane ręcznie - przez użytkownika, i automatycznie (na żądanie) - na podstawie bieżących wartości parametrów.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Granice regulowane indywidualnie - w oknach poszczególnych parametrów - oraz zbiorczo, w oknie ustawień alarmów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wyciszenia alarmów. Czas wyciszenia alarmów przynajmniej: 2 minuty oraz bez limitu czasowego.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bezdotykowego wyciszania alarmów gestem - poprzez odpowiedni ruch dłonią przed ekranem kardiomonitora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Monitor wyposażony w pamięć przynajmniej 100 zdarzeń alarmowych zawierających wycinki krzywych dynamicznych. Zdarzenia zapisywane automatycznie - w chwili wystąpienia zdarzenia alarmowego, a także ręcznie - po naciśnięciu odpowiedniego </w:t>
            </w: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>przycisku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Możliwość rozbudowy kardiomonitora o funkcję zaawansowanych alarmów ułatwiających diagnozowanie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trudnch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stanów klinicznych poprzez informowanie personelu o jednoczasowym zajściu kilku warunków brzegowych - konfigurowanych przez użytkownika - związanych z wartościami różnych mierzonych parametrów.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2238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Analiza danych</w:t>
            </w: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Stanowisko monitorowania pacjenta wyposażone w pamięć trendów z ostatnich min. 96 godzin.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Monitor wyposażony w pamięć przynajmniej 168 godzin trendów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wyświetlania trendów w formie graficznej i tabelarycznej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Monitor z możliwością rozbudowy o funkcje wczesnego ostrzegania wg skali NEWS2 i MEWS oraz funkcję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OxyCRG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oraz wbudowaną pamięć pełnych przebiegów dynamicznych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Full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Disclosure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z min. 72 godzin dla przynajmniej: wszystkich przebiegów EKG, SpO2, Oddechu i 2x IBP.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322382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TAK – 1pkt.</w:t>
            </w:r>
          </w:p>
          <w:p w:rsidR="00322382" w:rsidRPr="00322382" w:rsidRDefault="00322382" w:rsidP="00322382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18"/>
                <w:szCs w:val="18"/>
                <w:highlight w:val="yellow"/>
              </w:rPr>
              <w:t>NIE – 0pkt</w:t>
            </w:r>
            <w:r w:rsidRPr="0032238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Monitor wyposażony w funkcję przenoszenia konfiguracji oraz trendów parametrów życiowych pacjenta za pośrednictwem pamięci USB. Funkcja eksportu trendów zabezpieczona przed niepowołanym dostępem, trendy eksportowane w formie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zanonimizowanej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, zaszyfrowanej w formacie umożliwiającym odczyt z wykorzystaniem pakietu MS Excel lub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Acrobat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Reader</w:t>
            </w:r>
            <w:proofErr w:type="spellEnd"/>
            <w:r w:rsidRPr="0032238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303" w:type="dxa"/>
            <w:vAlign w:val="center"/>
          </w:tcPr>
          <w:p w:rsidR="00322382" w:rsidRPr="00322382" w:rsidRDefault="00322382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22382">
              <w:rPr>
                <w:rFonts w:ascii="Arial" w:hAnsi="Arial" w:cs="Arial"/>
                <w:b/>
                <w:sz w:val="20"/>
                <w:szCs w:val="20"/>
              </w:rPr>
              <w:t xml:space="preserve">Pozostałe wymagania </w:t>
            </w: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322382" w:rsidRPr="00322382" w:rsidRDefault="00322382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auto"/>
                <w:sz w:val="20"/>
                <w:szCs w:val="20"/>
              </w:rPr>
              <w:t>Sposób przekazywania zgłoszeń o awariach: mailowo oraz telefonicznie, infolinia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9B23B6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 xml:space="preserve">Certyfikat, deklaracja zgodności, potwierdzające spełnianie norm unijnych i polskich CE, wpis lub zgłoszenie do Rejestru Wyrobów Medycznych 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pStyle w:val="western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322382" w:rsidRPr="00322382" w:rsidRDefault="009B23B6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 xml:space="preserve">Dokumenty załączyć  wraz z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dostawą sprzętu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 xml:space="preserve">Wykonawca zobowiązany jest do instalacji i uruchomienia sprzętu oraz przeprowadzenia szkolenia z zakresu obsługi i konserwacji sprzętu.  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Katalogi i / lub ulotki informacyjne producenta lub dystrybutora – w języku polskim , potwierdzające parametry techniczne oferowanego wyrobu.(dokumenty załączyć  wraz z ofertą)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pStyle w:val="western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322382" w:rsidRPr="00322382" w:rsidRDefault="00322382" w:rsidP="00B34055">
            <w:pPr>
              <w:pStyle w:val="western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auto"/>
                <w:sz w:val="20"/>
                <w:szCs w:val="20"/>
              </w:rPr>
              <w:t>Dokumenty załączyć  wraz z ofertą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322382" w:rsidRPr="00322382" w:rsidRDefault="00322382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auto"/>
                <w:sz w:val="20"/>
                <w:szCs w:val="20"/>
              </w:rPr>
              <w:t>Autoryzacja producenta na serwis gwarancyjny i pogwarancyjny oraz sprzedaż zaoferowanego sprzętu na terenie Polski (dokumenty dostarczyć wraz z dostawą)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 dane serwisu</w:t>
            </w:r>
          </w:p>
          <w:p w:rsidR="00322382" w:rsidRPr="00322382" w:rsidRDefault="00322382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Dokumenty załączyć wraz  z dostawą towaru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322382" w:rsidRPr="00322382" w:rsidRDefault="00322382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 xml:space="preserve">Dostawca zobowiązany jest do wykonania obowiązkowych, bezpłatnych przeglądów okresowych w okresie obowiązywania gwarancji, zgodnie z zaleceniami  producenta, nie rzadziej niż 1 raz do roku, ostatni z tych przeglądów w ostatnim </w:t>
            </w:r>
            <w:r w:rsidRPr="00322382">
              <w:rPr>
                <w:rFonts w:ascii="Arial" w:hAnsi="Arial" w:cs="Arial"/>
                <w:sz w:val="20"/>
                <w:szCs w:val="20"/>
              </w:rPr>
              <w:lastRenderedPageBreak/>
              <w:t>miesiącu obowiązywania gwarancji.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238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Tak, podać liczbę wymaganych dla bezpiecznej pracy urządzeń przeglądów okresowych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22382" w:rsidRPr="00322382" w:rsidRDefault="00322382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Liczba napraw gwarancyjnych tego samego podzespołu uprawniająca do wymiany tego podzespołu oraz podzespołów bezpośrednio mających wpływ na jego funkcjonowanie na nowe (nie więcej niż 3).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322382" w:rsidRPr="00322382" w:rsidRDefault="00322382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auto"/>
                <w:sz w:val="20"/>
                <w:szCs w:val="20"/>
              </w:rPr>
              <w:t>Paszport techniczny z wpisem o przeprowadzonej instalacji i uruchomieniu oraz z datą następnego przeglądu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322382" w:rsidRPr="00322382" w:rsidRDefault="00322382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auto"/>
                <w:sz w:val="20"/>
                <w:szCs w:val="20"/>
              </w:rPr>
              <w:t>Gwarancja dostępności części zamiennych przez okres 10 lat od momentu dostarczenia przedmiotu zamówienia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322382" w:rsidRPr="00322382" w:rsidRDefault="00322382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auto"/>
                <w:sz w:val="20"/>
                <w:szCs w:val="20"/>
              </w:rPr>
              <w:t>Czas naprawy gwarancyjnej przedłużający okres gwarancji liczony od momentu zgłoszenia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322382" w:rsidRPr="00322382" w:rsidRDefault="00322382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22382">
              <w:rPr>
                <w:rFonts w:ascii="Arial" w:hAnsi="Arial" w:cs="Arial"/>
                <w:color w:val="auto"/>
                <w:sz w:val="20"/>
                <w:szCs w:val="20"/>
              </w:rPr>
              <w:t>Instrukcja obsługi w języku polskim (dokumenty dostarczyć wraz z dostawą)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322382" w:rsidRPr="00322382" w:rsidRDefault="00322382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Dokumenty załączyć wraz  z dostawą towaru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322382" w:rsidRPr="00322382" w:rsidRDefault="00322382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Oświadczamy,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że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przedmiot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oferty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jest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kompletny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i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będzie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gotowy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do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pracy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zgodnie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z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instrukcją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obsługi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bez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żadnych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dodatkowych</w:t>
            </w:r>
            <w:r w:rsidRPr="00322382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322382">
              <w:rPr>
                <w:rFonts w:ascii="Arial" w:hAnsi="Arial" w:cs="Arial"/>
                <w:sz w:val="20"/>
                <w:szCs w:val="20"/>
              </w:rPr>
              <w:t>zakupów.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2382"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2382" w:rsidRPr="00322382" w:rsidTr="00B34055">
        <w:tc>
          <w:tcPr>
            <w:tcW w:w="817" w:type="dxa"/>
          </w:tcPr>
          <w:p w:rsidR="00322382" w:rsidRPr="00322382" w:rsidRDefault="00322382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322382" w:rsidRPr="00322382" w:rsidRDefault="00322382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322382">
              <w:rPr>
                <w:rFonts w:ascii="Arial" w:hAnsi="Arial" w:cs="Arial"/>
                <w:sz w:val="20"/>
                <w:szCs w:val="20"/>
              </w:rPr>
              <w:t>Podać inne funkcje i akcesoria wliczone w cenę</w:t>
            </w:r>
          </w:p>
        </w:tc>
        <w:tc>
          <w:tcPr>
            <w:tcW w:w="2303" w:type="dxa"/>
          </w:tcPr>
          <w:p w:rsidR="00322382" w:rsidRPr="00322382" w:rsidRDefault="00322382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322382">
              <w:rPr>
                <w:rFonts w:ascii="Arial" w:hAnsi="Arial" w:cs="Arial"/>
                <w:sz w:val="20"/>
                <w:szCs w:val="20"/>
                <w:lang w:val="en-US"/>
              </w:rPr>
              <w:t>Podać</w:t>
            </w:r>
            <w:proofErr w:type="spellEnd"/>
          </w:p>
        </w:tc>
        <w:tc>
          <w:tcPr>
            <w:tcW w:w="2303" w:type="dxa"/>
          </w:tcPr>
          <w:p w:rsidR="00322382" w:rsidRPr="00322382" w:rsidRDefault="00322382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322382" w:rsidRPr="00322382" w:rsidRDefault="00322382" w:rsidP="00322382">
      <w:pPr>
        <w:rPr>
          <w:rFonts w:ascii="Arial" w:hAnsi="Arial" w:cs="Arial"/>
          <w:sz w:val="20"/>
          <w:szCs w:val="20"/>
        </w:rPr>
      </w:pPr>
    </w:p>
    <w:p w:rsidR="00322382" w:rsidRPr="00322382" w:rsidRDefault="00322382" w:rsidP="00322382">
      <w:pPr>
        <w:spacing w:after="0"/>
        <w:rPr>
          <w:rFonts w:ascii="Arial" w:hAnsi="Arial" w:cs="Arial"/>
          <w:sz w:val="20"/>
          <w:szCs w:val="20"/>
        </w:rPr>
      </w:pPr>
      <w:r w:rsidRPr="00322382">
        <w:rPr>
          <w:rFonts w:ascii="Arial" w:hAnsi="Arial" w:cs="Arial"/>
          <w:b/>
          <w:sz w:val="20"/>
          <w:szCs w:val="20"/>
        </w:rPr>
        <w:t xml:space="preserve">UWAGA: </w:t>
      </w:r>
    </w:p>
    <w:p w:rsidR="00322382" w:rsidRPr="00322382" w:rsidRDefault="00322382" w:rsidP="00322382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22382">
        <w:rPr>
          <w:rFonts w:ascii="Arial" w:hAnsi="Arial" w:cs="Arial"/>
          <w:b/>
          <w:sz w:val="20"/>
          <w:szCs w:val="20"/>
        </w:rPr>
        <w:t>Parametry punktowane</w:t>
      </w:r>
      <w:r w:rsidRPr="00322382">
        <w:rPr>
          <w:rFonts w:ascii="Arial" w:hAnsi="Arial" w:cs="Arial"/>
          <w:sz w:val="20"/>
          <w:szCs w:val="20"/>
        </w:rPr>
        <w:t xml:space="preserve"> – będą uwzględnione w ocenie ofert (kryterium jakość-parametry techniczne)</w:t>
      </w:r>
    </w:p>
    <w:p w:rsidR="00322382" w:rsidRPr="00322382" w:rsidRDefault="00322382" w:rsidP="00322382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22382">
        <w:rPr>
          <w:rFonts w:ascii="Arial" w:hAnsi="Arial" w:cs="Arial"/>
          <w:sz w:val="20"/>
          <w:szCs w:val="20"/>
        </w:rPr>
        <w:t>Wszystkie pozostałe parametry minimalne w powyższej tabeli są parametrami bezwzględnie wymaganymi, których niespełnienie spowoduje odrzucenie oferty</w:t>
      </w:r>
    </w:p>
    <w:p w:rsidR="00322382" w:rsidRPr="00322382" w:rsidRDefault="00322382" w:rsidP="00322382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22382">
        <w:rPr>
          <w:rFonts w:ascii="Arial" w:hAnsi="Arial" w:cs="Arial"/>
          <w:sz w:val="20"/>
          <w:szCs w:val="20"/>
        </w:rPr>
        <w:t>Wykonawca zobowiązany jest do podania wartości parametrów w jednostkach fizycznych wskazanych w powyższej tabeli.</w:t>
      </w:r>
    </w:p>
    <w:p w:rsidR="00322382" w:rsidRPr="00322382" w:rsidRDefault="00322382" w:rsidP="00322382">
      <w:pPr>
        <w:rPr>
          <w:rFonts w:ascii="Arial" w:hAnsi="Arial" w:cs="Arial"/>
          <w:sz w:val="20"/>
          <w:szCs w:val="20"/>
        </w:rPr>
      </w:pPr>
    </w:p>
    <w:p w:rsidR="00322382" w:rsidRPr="00322382" w:rsidRDefault="00322382" w:rsidP="00322382">
      <w:pPr>
        <w:rPr>
          <w:rFonts w:ascii="Arial" w:hAnsi="Arial" w:cs="Arial"/>
          <w:sz w:val="20"/>
          <w:szCs w:val="20"/>
        </w:rPr>
      </w:pPr>
    </w:p>
    <w:p w:rsidR="00322382" w:rsidRPr="00322382" w:rsidRDefault="00322382" w:rsidP="00322382">
      <w:pPr>
        <w:rPr>
          <w:rFonts w:ascii="Arial" w:hAnsi="Arial" w:cs="Arial"/>
          <w:sz w:val="20"/>
          <w:szCs w:val="20"/>
        </w:rPr>
      </w:pPr>
    </w:p>
    <w:p w:rsidR="00322382" w:rsidRPr="00322382" w:rsidRDefault="00322382" w:rsidP="00322382">
      <w:pPr>
        <w:rPr>
          <w:rFonts w:ascii="Arial" w:hAnsi="Arial" w:cs="Arial"/>
          <w:sz w:val="20"/>
          <w:szCs w:val="20"/>
        </w:rPr>
      </w:pPr>
    </w:p>
    <w:p w:rsidR="00853F77" w:rsidRPr="00322382" w:rsidRDefault="00853F77">
      <w:pPr>
        <w:rPr>
          <w:rFonts w:ascii="Arial" w:hAnsi="Arial" w:cs="Arial"/>
          <w:sz w:val="20"/>
          <w:szCs w:val="20"/>
        </w:rPr>
      </w:pPr>
    </w:p>
    <w:sectPr w:rsidR="00853F77" w:rsidRPr="00322382" w:rsidSect="00F835FA">
      <w:pgSz w:w="11906" w:h="16838"/>
      <w:pgMar w:top="56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C1AD0"/>
    <w:multiLevelType w:val="hybridMultilevel"/>
    <w:tmpl w:val="285CA468"/>
    <w:lvl w:ilvl="0" w:tplc="4D82D5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82D71"/>
    <w:multiLevelType w:val="multilevel"/>
    <w:tmpl w:val="1EE8F210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322382"/>
    <w:rsid w:val="001224DD"/>
    <w:rsid w:val="00322382"/>
    <w:rsid w:val="003E324B"/>
    <w:rsid w:val="007B09F5"/>
    <w:rsid w:val="00853F77"/>
    <w:rsid w:val="009B2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23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32238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32238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223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22382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tandard">
    <w:name w:val="Standard"/>
    <w:rsid w:val="00322382"/>
    <w:pPr>
      <w:suppressAutoHyphens/>
      <w:autoSpaceDN w:val="0"/>
      <w:textAlignment w:val="baseline"/>
    </w:pPr>
    <w:rPr>
      <w:rFonts w:ascii="Calibri" w:eastAsia="Calibri" w:hAnsi="Calibri" w:cs="DejaVu San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2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23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2862</Words>
  <Characters>17174</Characters>
  <Application>Microsoft Office Word</Application>
  <DocSecurity>0</DocSecurity>
  <Lines>143</Lines>
  <Paragraphs>39</Paragraphs>
  <ScaleCrop>false</ScaleCrop>
  <Company/>
  <LinksUpToDate>false</LinksUpToDate>
  <CharactersWithSpaces>19997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zam2</dc:creator>
  <cp:lastModifiedBy>zam2</cp:lastModifiedBy>
  <cp:revision>3</cp:revision>
  <dcterms:created xsi:type="dcterms:W3CDTF">2026-03-23T11:39:00Z</dcterms:created>
  <dcterms:modified xsi:type="dcterms:W3CDTF">2026-03-27T14:44:00Z</dcterms:modified>
</cp:coreProperties>
</file>